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65" w:tblpY="3082"/>
        <w:tblOverlap w:val="never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65"/>
        <w:gridCol w:w="2387"/>
        <w:gridCol w:w="4796"/>
        <w:gridCol w:w="2387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136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方正小标宋简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</w:rPr>
              <w:t>“新疆维吾尔自治区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社科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</w:rPr>
              <w:t>普及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优秀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</w:rPr>
              <w:t>案例”推选活动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>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6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4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8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8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8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8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sectPr>
      <w:pgSz w:w="16838" w:h="11906" w:orient="landscape"/>
      <w:pgMar w:top="2098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318AF"/>
    <w:rsid w:val="47C318AF"/>
    <w:rsid w:val="76AB1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2025-01-06T10:22:00Z</dcterms:created>
  <dc:creator>lx1</dc:creator>
  <cp:lastModifiedBy>lx1</cp:lastModifiedBy>
  <dcterms:modified xsi:type="dcterms:W3CDTF">2025-01-06T10:27:28Z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